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4BB" w:rsidRPr="00CE5154"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bookmarkStart w:id="2" w:name="_GoBack"/>
      <w:r w:rsidRPr="00CE5154">
        <w:rPr>
          <w:rFonts w:cs="Arial"/>
          <w:bCs/>
          <w:sz w:val="24"/>
          <w:szCs w:val="24"/>
        </w:rPr>
        <w:t>3GPP TSG RAN WG1 Meeting #</w:t>
      </w:r>
      <w:r w:rsidR="007020B7" w:rsidRPr="00CE5154">
        <w:rPr>
          <w:rFonts w:eastAsia="MS Mincho" w:cs="Arial"/>
          <w:bCs/>
          <w:sz w:val="24"/>
          <w:szCs w:val="24"/>
          <w:lang w:eastAsia="ja-JP"/>
        </w:rPr>
        <w:t>8</w:t>
      </w:r>
      <w:r w:rsidR="007020B7">
        <w:rPr>
          <w:rFonts w:eastAsia="MS Mincho" w:cs="Arial"/>
          <w:bCs/>
          <w:sz w:val="24"/>
          <w:szCs w:val="24"/>
          <w:lang w:eastAsia="ja-JP"/>
        </w:rPr>
        <w:t>7</w:t>
      </w:r>
      <w:r w:rsidRPr="00CE5154">
        <w:rPr>
          <w:rFonts w:eastAsia="MS Mincho" w:cs="Arial"/>
          <w:bCs/>
          <w:sz w:val="24"/>
          <w:szCs w:val="24"/>
          <w:lang w:eastAsia="ja-JP"/>
        </w:rPr>
        <w:tab/>
      </w:r>
      <w:r w:rsidRPr="00CE5154">
        <w:rPr>
          <w:rFonts w:eastAsia="MS Mincho" w:cs="Arial"/>
          <w:bCs/>
          <w:sz w:val="24"/>
          <w:szCs w:val="24"/>
          <w:lang w:eastAsia="ja-JP"/>
        </w:rPr>
        <w:tab/>
      </w:r>
      <w:r w:rsidR="005B1D9F" w:rsidRPr="005B1D9F">
        <w:rPr>
          <w:rFonts w:cs="Arial"/>
          <w:bCs/>
          <w:sz w:val="24"/>
          <w:szCs w:val="24"/>
        </w:rPr>
        <w:t>R1-1612970</w:t>
      </w:r>
    </w:p>
    <w:p w:rsidR="003B44BB" w:rsidRPr="00CE5154" w:rsidRDefault="007020B7" w:rsidP="003B44BB">
      <w:pPr>
        <w:pStyle w:val="Header"/>
        <w:rPr>
          <w:rFonts w:eastAsia="MS Mincho" w:cs="Arial"/>
          <w:bCs/>
          <w:sz w:val="24"/>
          <w:szCs w:val="24"/>
          <w:lang w:val="en-US" w:eastAsia="ja-JP"/>
        </w:rPr>
      </w:pPr>
      <w:r>
        <w:rPr>
          <w:rFonts w:eastAsia="MS Mincho" w:cs="Arial"/>
          <w:bCs/>
          <w:sz w:val="24"/>
          <w:szCs w:val="24"/>
          <w:lang w:val="en-US" w:eastAsia="ja-JP"/>
        </w:rPr>
        <w:t>Reno, Nevada, USA</w:t>
      </w:r>
      <w:r w:rsidR="003B44BB" w:rsidRPr="00CE5154">
        <w:rPr>
          <w:rFonts w:eastAsia="MS Mincho" w:cs="Arial"/>
          <w:bCs/>
          <w:sz w:val="24"/>
          <w:szCs w:val="24"/>
          <w:lang w:val="en-US" w:eastAsia="ja-JP"/>
        </w:rPr>
        <w:t xml:space="preserve">, </w:t>
      </w:r>
      <w:r w:rsidRPr="00CE5154">
        <w:rPr>
          <w:rFonts w:eastAsia="MS Mincho" w:cs="Arial"/>
          <w:bCs/>
          <w:sz w:val="24"/>
          <w:szCs w:val="24"/>
          <w:lang w:val="en-US" w:eastAsia="ja-JP"/>
        </w:rPr>
        <w:t>1</w:t>
      </w:r>
      <w:r>
        <w:rPr>
          <w:rFonts w:eastAsia="MS Mincho" w:cs="Arial"/>
          <w:bCs/>
          <w:sz w:val="24"/>
          <w:szCs w:val="24"/>
          <w:lang w:val="en-US" w:eastAsia="ja-JP"/>
        </w:rPr>
        <w:t>4</w:t>
      </w:r>
      <w:r w:rsidRPr="00CE5154">
        <w:rPr>
          <w:rFonts w:eastAsia="MS Mincho" w:cs="Arial"/>
          <w:bCs/>
          <w:sz w:val="24"/>
          <w:szCs w:val="24"/>
          <w:vertAlign w:val="superscript"/>
          <w:lang w:val="en-US" w:eastAsia="ja-JP"/>
        </w:rPr>
        <w:t>th</w:t>
      </w:r>
      <w:r w:rsidRPr="00CE5154">
        <w:rPr>
          <w:rFonts w:eastAsia="MS Mincho" w:cs="Arial"/>
          <w:bCs/>
          <w:sz w:val="24"/>
          <w:szCs w:val="24"/>
          <w:lang w:val="en-US" w:eastAsia="ja-JP"/>
        </w:rPr>
        <w:t xml:space="preserve"> </w:t>
      </w:r>
      <w:r w:rsidR="003B44BB" w:rsidRPr="00CE5154">
        <w:rPr>
          <w:rFonts w:eastAsia="MS Mincho" w:cs="Arial"/>
          <w:bCs/>
          <w:sz w:val="24"/>
          <w:szCs w:val="24"/>
          <w:lang w:val="en-US" w:eastAsia="ja-JP"/>
        </w:rPr>
        <w:t xml:space="preserve">- </w:t>
      </w:r>
      <w:r w:rsidRPr="00CE5154">
        <w:rPr>
          <w:rFonts w:eastAsia="MS Mincho" w:cs="Arial"/>
          <w:bCs/>
          <w:sz w:val="24"/>
          <w:szCs w:val="24"/>
          <w:lang w:val="en-US" w:eastAsia="ja-JP"/>
        </w:rPr>
        <w:t>1</w:t>
      </w:r>
      <w:r>
        <w:rPr>
          <w:rFonts w:eastAsia="MS Mincho" w:cs="Arial"/>
          <w:bCs/>
          <w:sz w:val="24"/>
          <w:szCs w:val="24"/>
          <w:lang w:val="en-US" w:eastAsia="ja-JP"/>
        </w:rPr>
        <w:t>8</w:t>
      </w:r>
      <w:r w:rsidRPr="00CE5154">
        <w:rPr>
          <w:rFonts w:eastAsia="MS Mincho" w:cs="Arial"/>
          <w:bCs/>
          <w:sz w:val="24"/>
          <w:szCs w:val="24"/>
          <w:vertAlign w:val="superscript"/>
          <w:lang w:val="en-US" w:eastAsia="ja-JP"/>
        </w:rPr>
        <w:t>th</w:t>
      </w:r>
      <w:r w:rsidRPr="00CE5154">
        <w:rPr>
          <w:rFonts w:eastAsia="MS Mincho" w:cs="Arial"/>
          <w:bCs/>
          <w:sz w:val="24"/>
          <w:szCs w:val="24"/>
          <w:lang w:val="en-US" w:eastAsia="ja-JP"/>
        </w:rPr>
        <w:t xml:space="preserve"> </w:t>
      </w:r>
      <w:r>
        <w:rPr>
          <w:rFonts w:eastAsia="MS Mincho" w:cs="Arial"/>
          <w:bCs/>
          <w:sz w:val="24"/>
          <w:szCs w:val="24"/>
          <w:lang w:val="en-US" w:eastAsia="ja-JP"/>
        </w:rPr>
        <w:t>November</w:t>
      </w:r>
      <w:r w:rsidRPr="00CE5154">
        <w:rPr>
          <w:rFonts w:eastAsia="MS Mincho" w:cs="Arial"/>
          <w:bCs/>
          <w:sz w:val="24"/>
          <w:szCs w:val="24"/>
          <w:lang w:val="en-US" w:eastAsia="ja-JP"/>
        </w:rPr>
        <w:t xml:space="preserve"> </w:t>
      </w:r>
      <w:r w:rsidR="003B44BB" w:rsidRPr="00CE5154">
        <w:rPr>
          <w:rFonts w:eastAsia="MS Mincho" w:cs="Arial"/>
          <w:bCs/>
          <w:sz w:val="24"/>
          <w:szCs w:val="24"/>
          <w:lang w:val="en-US" w:eastAsia="ja-JP"/>
        </w:rPr>
        <w:t>201</w:t>
      </w:r>
      <w:r w:rsidR="008F4B7E" w:rsidRPr="00CE5154">
        <w:rPr>
          <w:rFonts w:eastAsia="MS Mincho" w:cs="Arial"/>
          <w:bCs/>
          <w:sz w:val="24"/>
          <w:szCs w:val="24"/>
          <w:lang w:val="en-US" w:eastAsia="ja-JP"/>
        </w:rPr>
        <w:t>6</w:t>
      </w:r>
    </w:p>
    <w:p w:rsidR="00005DBD" w:rsidRPr="00CE5154" w:rsidRDefault="00005DBD" w:rsidP="00005DBD">
      <w:pPr>
        <w:pStyle w:val="FootnoteText"/>
        <w:rPr>
          <w:lang w:val="en-US"/>
        </w:rPr>
      </w:pPr>
    </w:p>
    <w:p w:rsidR="00005DBD" w:rsidRPr="0046146C" w:rsidRDefault="00005DBD" w:rsidP="00005DBD">
      <w:pPr>
        <w:pStyle w:val="TdocHeader2"/>
        <w:jc w:val="left"/>
        <w:rPr>
          <w:sz w:val="20"/>
          <w:lang w:val="en-US"/>
        </w:rPr>
      </w:pPr>
      <w:r w:rsidRPr="0046146C">
        <w:rPr>
          <w:sz w:val="20"/>
          <w:lang w:val="en-US"/>
        </w:rPr>
        <w:t xml:space="preserve">Source: </w:t>
      </w:r>
      <w:r w:rsidRPr="0046146C">
        <w:rPr>
          <w:sz w:val="20"/>
          <w:lang w:val="en-US"/>
        </w:rPr>
        <w:tab/>
        <w:t>Ericsson</w:t>
      </w:r>
    </w:p>
    <w:p w:rsidR="00005DBD" w:rsidRPr="0046146C" w:rsidRDefault="00005DBD" w:rsidP="00005DBD">
      <w:pPr>
        <w:pStyle w:val="TdocHeader2"/>
        <w:jc w:val="left"/>
        <w:rPr>
          <w:sz w:val="20"/>
          <w:lang w:val="en-US"/>
        </w:rPr>
      </w:pPr>
      <w:r w:rsidRPr="0046146C">
        <w:rPr>
          <w:sz w:val="20"/>
          <w:lang w:val="en-US"/>
        </w:rPr>
        <w:t>Title:</w:t>
      </w:r>
      <w:bookmarkStart w:id="3" w:name="Title"/>
      <w:bookmarkEnd w:id="3"/>
      <w:r w:rsidRPr="0046146C">
        <w:rPr>
          <w:sz w:val="20"/>
          <w:lang w:val="en-US"/>
        </w:rPr>
        <w:tab/>
      </w:r>
      <w:r w:rsidR="005B29D0" w:rsidRPr="0046146C">
        <w:rPr>
          <w:sz w:val="20"/>
          <w:lang w:val="en-US"/>
        </w:rPr>
        <w:t>Discussion on UE decoding capabilities</w:t>
      </w:r>
    </w:p>
    <w:p w:rsidR="00005DBD" w:rsidRPr="00496418" w:rsidRDefault="00005DBD" w:rsidP="00005DBD">
      <w:pPr>
        <w:pStyle w:val="TdocHeader2"/>
        <w:jc w:val="left"/>
        <w:rPr>
          <w:sz w:val="20"/>
          <w:lang w:val="en-US"/>
        </w:rPr>
      </w:pPr>
      <w:r w:rsidRPr="005B1D9F">
        <w:rPr>
          <w:sz w:val="20"/>
          <w:lang w:val="en-US"/>
        </w:rPr>
        <w:t>Agenda Item:</w:t>
      </w:r>
      <w:r w:rsidRPr="005B1D9F">
        <w:rPr>
          <w:sz w:val="20"/>
          <w:lang w:val="en-US"/>
        </w:rPr>
        <w:tab/>
      </w:r>
      <w:r w:rsidR="007020B7" w:rsidRPr="005B1D9F">
        <w:rPr>
          <w:rFonts w:cs="Arial"/>
          <w:color w:val="312E25"/>
          <w:sz w:val="20"/>
          <w:szCs w:val="18"/>
          <w:lang w:eastAsia="sv-SE"/>
        </w:rPr>
        <w:t>6</w:t>
      </w:r>
      <w:r w:rsidR="00CE5154" w:rsidRPr="005B1D9F">
        <w:rPr>
          <w:rFonts w:cs="Arial"/>
          <w:color w:val="312E25"/>
          <w:sz w:val="20"/>
          <w:szCs w:val="18"/>
          <w:lang w:eastAsia="sv-SE"/>
        </w:rPr>
        <w:t>.1.8</w:t>
      </w:r>
    </w:p>
    <w:p w:rsidR="00005DBD" w:rsidRPr="007F1723" w:rsidRDefault="00005DBD" w:rsidP="00005DBD">
      <w:pPr>
        <w:pStyle w:val="TdocHeader2"/>
        <w:jc w:val="left"/>
        <w:rPr>
          <w:sz w:val="20"/>
          <w:lang w:val="en-US"/>
        </w:rPr>
      </w:pPr>
      <w:r w:rsidRPr="00496418">
        <w:rPr>
          <w:sz w:val="20"/>
          <w:lang w:val="en-US"/>
        </w:rPr>
        <w:t>Document for:</w:t>
      </w:r>
      <w:r w:rsidRPr="00496418">
        <w:rPr>
          <w:sz w:val="20"/>
          <w:lang w:val="en-US"/>
        </w:rPr>
        <w:tab/>
        <w:t>Discussion and Decision</w:t>
      </w:r>
    </w:p>
    <w:p w:rsidR="0078373C" w:rsidRPr="004306F8" w:rsidRDefault="00D77223" w:rsidP="004306F8">
      <w:pPr>
        <w:pStyle w:val="Heading1"/>
      </w:pPr>
      <w:bookmarkStart w:id="4" w:name="_Ref446688366"/>
      <w:bookmarkEnd w:id="0"/>
      <w:bookmarkEnd w:id="1"/>
      <w:r w:rsidRPr="007F1723">
        <w:t>Introduction</w:t>
      </w:r>
      <w:bookmarkEnd w:id="4"/>
    </w:p>
    <w:p w:rsidR="006924FD" w:rsidRPr="00EE00BD" w:rsidRDefault="00357232" w:rsidP="00BA363D">
      <w:pPr>
        <w:pStyle w:val="BodyText"/>
        <w:spacing w:after="240"/>
        <w:jc w:val="both"/>
        <w:rPr>
          <w:rFonts w:asciiTheme="minorHAnsi" w:hAnsiTheme="minorHAnsi" w:cstheme="minorHAnsi"/>
          <w:lang w:eastAsia="zh-CN"/>
        </w:rPr>
      </w:pPr>
      <w:r w:rsidRPr="00EE00BD">
        <w:rPr>
          <w:rFonts w:asciiTheme="minorHAnsi" w:hAnsiTheme="minorHAnsi" w:cstheme="minorHAnsi"/>
          <w:spacing w:val="2"/>
          <w:sz w:val="20"/>
          <w:szCs w:val="20"/>
        </w:rPr>
        <w:t>During RAN1#</w:t>
      </w:r>
      <w:r w:rsidR="00D31A62" w:rsidRPr="00EE00BD">
        <w:rPr>
          <w:rFonts w:asciiTheme="minorHAnsi" w:hAnsiTheme="minorHAnsi" w:cstheme="minorHAnsi"/>
          <w:spacing w:val="2"/>
          <w:sz w:val="20"/>
          <w:szCs w:val="20"/>
        </w:rPr>
        <w:t>86</w:t>
      </w:r>
      <w:r w:rsidRPr="00EE00BD">
        <w:rPr>
          <w:rFonts w:asciiTheme="minorHAnsi" w:hAnsiTheme="minorHAnsi" w:cstheme="minorHAnsi"/>
          <w:spacing w:val="2"/>
          <w:sz w:val="20"/>
          <w:szCs w:val="20"/>
        </w:rPr>
        <w:t>, the following was agreed</w:t>
      </w:r>
      <w:r w:rsidR="00BB5340" w:rsidRPr="00EE00BD">
        <w:rPr>
          <w:rFonts w:asciiTheme="minorHAnsi" w:hAnsiTheme="minorHAnsi" w:cstheme="minorHAnsi"/>
          <w:spacing w:val="2"/>
          <w:sz w:val="20"/>
          <w:szCs w:val="20"/>
        </w:rPr>
        <w:t xml:space="preserve"> </w:t>
      </w:r>
      <w:r w:rsidR="003C14EE" w:rsidRPr="00EE00BD">
        <w:rPr>
          <w:rFonts w:asciiTheme="minorHAnsi" w:hAnsiTheme="minorHAnsi" w:cstheme="minorHAnsi"/>
          <w:spacing w:val="2"/>
          <w:sz w:val="20"/>
          <w:szCs w:val="20"/>
        </w:rPr>
        <w:fldChar w:fldCharType="begin"/>
      </w:r>
      <w:r w:rsidR="003C14EE" w:rsidRPr="00EE00BD">
        <w:rPr>
          <w:rFonts w:asciiTheme="minorHAnsi" w:hAnsiTheme="minorHAnsi" w:cstheme="minorHAnsi"/>
          <w:spacing w:val="2"/>
          <w:sz w:val="20"/>
          <w:szCs w:val="20"/>
        </w:rPr>
        <w:instrText xml:space="preserve"> REF _Ref458436874 \r \h </w:instrText>
      </w:r>
      <w:r w:rsidR="001C75E2">
        <w:rPr>
          <w:rFonts w:asciiTheme="minorHAnsi" w:hAnsiTheme="minorHAnsi" w:cstheme="minorHAnsi"/>
          <w:spacing w:val="2"/>
          <w:sz w:val="20"/>
          <w:szCs w:val="20"/>
        </w:rPr>
        <w:instrText xml:space="preserve"> \* MERGEFORMAT </w:instrText>
      </w:r>
      <w:r w:rsidR="003C14EE" w:rsidRPr="00EE00BD">
        <w:rPr>
          <w:rFonts w:asciiTheme="minorHAnsi" w:hAnsiTheme="minorHAnsi" w:cstheme="minorHAnsi"/>
          <w:spacing w:val="2"/>
          <w:sz w:val="20"/>
          <w:szCs w:val="20"/>
        </w:rPr>
      </w:r>
      <w:r w:rsidR="003C14EE" w:rsidRPr="00EE00BD">
        <w:rPr>
          <w:rFonts w:asciiTheme="minorHAnsi" w:hAnsiTheme="minorHAnsi" w:cstheme="minorHAnsi"/>
          <w:spacing w:val="2"/>
          <w:sz w:val="20"/>
          <w:szCs w:val="20"/>
        </w:rPr>
        <w:fldChar w:fldCharType="separate"/>
      </w:r>
      <w:r w:rsidR="003C14EE" w:rsidRPr="00EE00BD">
        <w:rPr>
          <w:rFonts w:asciiTheme="minorHAnsi" w:hAnsiTheme="minorHAnsi" w:cstheme="minorHAnsi"/>
          <w:spacing w:val="2"/>
          <w:sz w:val="20"/>
          <w:szCs w:val="20"/>
        </w:rPr>
        <w:t>[1]</w:t>
      </w:r>
      <w:r w:rsidR="003C14EE" w:rsidRPr="00EE00BD">
        <w:rPr>
          <w:rFonts w:asciiTheme="minorHAnsi" w:hAnsiTheme="minorHAnsi" w:cstheme="minorHAnsi"/>
          <w:spacing w:val="2"/>
          <w:sz w:val="20"/>
          <w:szCs w:val="20"/>
        </w:rPr>
        <w:fldChar w:fldCharType="end"/>
      </w:r>
      <w:r w:rsidRPr="00EE00BD">
        <w:rPr>
          <w:rFonts w:asciiTheme="minorHAnsi" w:hAnsiTheme="minorHAnsi" w:cstheme="minorHAnsi"/>
          <w:spacing w:val="2"/>
          <w:sz w:val="20"/>
          <w:szCs w:val="20"/>
        </w:rPr>
        <w:t>:</w:t>
      </w:r>
      <w:r w:rsidR="006B3F31" w:rsidRPr="00EE00BD">
        <w:rPr>
          <w:rFonts w:asciiTheme="minorHAnsi" w:hAnsiTheme="minorHAnsi" w:cstheme="minorHAnsi"/>
          <w:spacing w:val="2"/>
          <w:sz w:val="20"/>
          <w:szCs w:val="20"/>
        </w:rPr>
        <w:t xml:space="preserve"> </w:t>
      </w:r>
    </w:p>
    <w:p w:rsidR="001C75E2" w:rsidRPr="00EE00BD" w:rsidRDefault="001C75E2" w:rsidP="00BA363D">
      <w:pPr>
        <w:ind w:left="1440" w:hanging="1440"/>
        <w:jc w:val="both"/>
        <w:rPr>
          <w:rFonts w:asciiTheme="minorHAnsi" w:eastAsia="Malgun Gothic" w:hAnsiTheme="minorHAnsi" w:cstheme="minorHAnsi"/>
          <w:u w:val="single"/>
        </w:rPr>
      </w:pPr>
      <w:r w:rsidRPr="00EE00BD">
        <w:rPr>
          <w:rFonts w:asciiTheme="minorHAnsi" w:eastAsia="Malgun Gothic" w:hAnsiTheme="minorHAnsi" w:cstheme="minorHAnsi"/>
          <w:highlight w:val="green"/>
          <w:u w:val="single"/>
        </w:rPr>
        <w:t>Agreement:</w:t>
      </w:r>
    </w:p>
    <w:p w:rsidR="001C75E2" w:rsidRPr="00EE00BD" w:rsidRDefault="001C75E2" w:rsidP="008A2505">
      <w:pPr>
        <w:numPr>
          <w:ilvl w:val="0"/>
          <w:numId w:val="8"/>
        </w:numPr>
        <w:spacing w:after="0"/>
        <w:jc w:val="both"/>
        <w:rPr>
          <w:rFonts w:asciiTheme="minorHAnsi" w:eastAsia="Malgun Gothic" w:hAnsiTheme="minorHAnsi" w:cstheme="minorHAnsi"/>
        </w:rPr>
      </w:pPr>
      <w:r w:rsidRPr="00EE00BD">
        <w:rPr>
          <w:rFonts w:asciiTheme="minorHAnsi" w:eastAsia="Malgun Gothic" w:hAnsiTheme="minorHAnsi" w:cstheme="minorHAnsi"/>
        </w:rPr>
        <w:t>A UE is not expected to try to decode more than [100] RBs in a subframe.</w:t>
      </w:r>
    </w:p>
    <w:p w:rsidR="003D4530" w:rsidRPr="00EE00BD" w:rsidRDefault="001C75E2" w:rsidP="008A2505">
      <w:pPr>
        <w:numPr>
          <w:ilvl w:val="0"/>
          <w:numId w:val="8"/>
        </w:numPr>
        <w:spacing w:after="0"/>
        <w:jc w:val="both"/>
        <w:rPr>
          <w:rFonts w:asciiTheme="minorHAnsi" w:eastAsia="Malgun Gothic" w:hAnsiTheme="minorHAnsi" w:cstheme="minorHAnsi"/>
        </w:rPr>
      </w:pPr>
      <w:r w:rsidRPr="00EE00BD">
        <w:rPr>
          <w:rFonts w:asciiTheme="minorHAnsi" w:eastAsia="Malgun Gothic" w:hAnsiTheme="minorHAnsi" w:cstheme="minorHAnsi"/>
        </w:rPr>
        <w:t>A UE is not expected to try to decode more than [10] PSCCHs in a subframe.</w:t>
      </w:r>
    </w:p>
    <w:p w:rsidR="003D4530" w:rsidRPr="00EE00BD" w:rsidRDefault="00BA363D" w:rsidP="00BA363D">
      <w:pPr>
        <w:spacing w:before="240"/>
        <w:jc w:val="both"/>
        <w:rPr>
          <w:rFonts w:asciiTheme="minorHAnsi" w:hAnsiTheme="minorHAnsi" w:cstheme="minorHAnsi"/>
          <w:color w:val="00B050"/>
        </w:rPr>
      </w:pPr>
      <w:r>
        <w:rPr>
          <w:rFonts w:asciiTheme="minorHAnsi" w:hAnsiTheme="minorHAnsi" w:cstheme="minorHAnsi"/>
          <w:lang w:val="en-US" w:eastAsia="zh-CN"/>
        </w:rPr>
        <w:t xml:space="preserve">The exact values were left for future discussion. </w:t>
      </w:r>
      <w:r w:rsidR="003D4530" w:rsidRPr="00EE00BD">
        <w:rPr>
          <w:rFonts w:asciiTheme="minorHAnsi" w:hAnsiTheme="minorHAnsi" w:cstheme="minorHAnsi"/>
          <w:lang w:val="en-US" w:eastAsia="zh-CN"/>
        </w:rPr>
        <w:t xml:space="preserve">In this contribution, we </w:t>
      </w:r>
      <w:r>
        <w:rPr>
          <w:rFonts w:asciiTheme="minorHAnsi" w:hAnsiTheme="minorHAnsi" w:cstheme="minorHAnsi"/>
          <w:lang w:val="en-US" w:eastAsia="zh-CN"/>
        </w:rPr>
        <w:t xml:space="preserve">consider them together with </w:t>
      </w:r>
      <w:r w:rsidR="003D4530" w:rsidRPr="00EE00BD">
        <w:rPr>
          <w:rFonts w:asciiTheme="minorHAnsi" w:hAnsiTheme="minorHAnsi" w:cstheme="minorHAnsi"/>
          <w:lang w:val="en-US" w:eastAsia="zh-CN"/>
        </w:rPr>
        <w:t>the de</w:t>
      </w:r>
      <w:r w:rsidR="001C75E2" w:rsidRPr="00EE00BD">
        <w:rPr>
          <w:rFonts w:asciiTheme="minorHAnsi" w:hAnsiTheme="minorHAnsi" w:cstheme="minorHAnsi"/>
          <w:lang w:val="en-US" w:eastAsia="zh-CN"/>
        </w:rPr>
        <w:t>coding capabilities of UEs</w:t>
      </w:r>
    </w:p>
    <w:p w:rsidR="006924FD" w:rsidRDefault="008A2505">
      <w:pPr>
        <w:pStyle w:val="Heading1"/>
      </w:pPr>
      <w:r>
        <w:t>UE decoding capabilities</w:t>
      </w:r>
    </w:p>
    <w:p w:rsidR="00D67A80" w:rsidRPr="00BA363D" w:rsidRDefault="00F03010" w:rsidP="00EE00BD">
      <w:pPr>
        <w:jc w:val="both"/>
        <w:rPr>
          <w:rFonts w:asciiTheme="minorHAnsi" w:hAnsiTheme="minorHAnsi" w:cstheme="minorHAnsi"/>
        </w:rPr>
      </w:pPr>
      <w:r>
        <w:t xml:space="preserve">LTE-V2V </w:t>
      </w:r>
      <w:r w:rsidRPr="00BA363D">
        <w:t>targets safety services</w:t>
      </w:r>
      <w:r w:rsidR="008D22E7" w:rsidRPr="00BA363D">
        <w:t xml:space="preserve">. For this reason, it is important that the receivers do not skip decoding some packets due to </w:t>
      </w:r>
      <w:r w:rsidR="008D22E7" w:rsidRPr="00BA363D">
        <w:rPr>
          <w:rFonts w:asciiTheme="minorHAnsi" w:hAnsiTheme="minorHAnsi" w:cstheme="minorHAnsi"/>
        </w:rPr>
        <w:t xml:space="preserve">limited receiver capabilities. </w:t>
      </w:r>
      <w:r w:rsidR="00D67A80" w:rsidRPr="00BA363D">
        <w:rPr>
          <w:rFonts w:asciiTheme="minorHAnsi" w:hAnsiTheme="minorHAnsi" w:cstheme="minorHAnsi"/>
        </w:rPr>
        <w:t xml:space="preserve">When discussing UE decoding requirements, we believe that it is important to </w:t>
      </w:r>
      <w:r w:rsidR="00EE00BD" w:rsidRPr="00BA363D">
        <w:rPr>
          <w:rFonts w:asciiTheme="minorHAnsi" w:hAnsiTheme="minorHAnsi" w:cstheme="minorHAnsi"/>
        </w:rPr>
        <w:t>consider</w:t>
      </w:r>
      <w:r w:rsidR="00D67A80" w:rsidRPr="00BA363D">
        <w:rPr>
          <w:rFonts w:asciiTheme="minorHAnsi" w:hAnsiTheme="minorHAnsi" w:cstheme="minorHAnsi"/>
        </w:rPr>
        <w:t xml:space="preserve"> that, in practice, DSRC have no such restrictions. This is possible due to the TDM operation, which simplifies the receiver design. In general, companies in 3GPP have emphasized the importance of having an LTE-V2X solution that performs substantially better than DSRC.</w:t>
      </w:r>
    </w:p>
    <w:p w:rsidR="00F03010" w:rsidRPr="00BA363D" w:rsidRDefault="008D22E7" w:rsidP="00EE00BD">
      <w:pPr>
        <w:jc w:val="both"/>
        <w:rPr>
          <w:rFonts w:asciiTheme="minorHAnsi" w:hAnsiTheme="minorHAnsi" w:cstheme="minorHAnsi"/>
        </w:rPr>
      </w:pPr>
      <w:r w:rsidRPr="00BA363D">
        <w:rPr>
          <w:rFonts w:asciiTheme="minorHAnsi" w:hAnsiTheme="minorHAnsi" w:cstheme="minorHAnsi"/>
        </w:rPr>
        <w:t>In general, the OFDMA nature of LTE-V2V makes the calculation of the minimum requirements somewhat cumbersome.</w:t>
      </w:r>
      <w:r w:rsidR="00D67A80" w:rsidRPr="00BA363D">
        <w:rPr>
          <w:rFonts w:asciiTheme="minorHAnsi" w:hAnsiTheme="minorHAnsi" w:cstheme="minorHAnsi"/>
        </w:rPr>
        <w:t xml:space="preserve"> </w:t>
      </w:r>
      <w:r w:rsidR="0046726D" w:rsidRPr="00BA363D">
        <w:rPr>
          <w:rFonts w:asciiTheme="minorHAnsi" w:hAnsiTheme="minorHAnsi" w:cstheme="minorHAnsi"/>
        </w:rPr>
        <w:t xml:space="preserve">In addition, a careful analysis would result in requirements that are never necessary in practice. </w:t>
      </w:r>
      <w:r w:rsidR="00D67A80" w:rsidRPr="00BA363D">
        <w:rPr>
          <w:rFonts w:asciiTheme="minorHAnsi" w:hAnsiTheme="minorHAnsi" w:cstheme="minorHAnsi"/>
        </w:rPr>
        <w:t>A reasonable simplification is to take the following extreme case into consideration:</w:t>
      </w:r>
    </w:p>
    <w:p w:rsidR="00D67A80" w:rsidRPr="00BA363D" w:rsidRDefault="00D67A80" w:rsidP="008A2505">
      <w:pPr>
        <w:pStyle w:val="ListParagraph"/>
        <w:numPr>
          <w:ilvl w:val="0"/>
          <w:numId w:val="10"/>
        </w:numPr>
        <w:jc w:val="both"/>
        <w:rPr>
          <w:rFonts w:asciiTheme="minorHAnsi" w:hAnsiTheme="minorHAnsi" w:cstheme="minorHAnsi"/>
          <w:sz w:val="20"/>
          <w:szCs w:val="20"/>
        </w:rPr>
      </w:pPr>
      <w:r w:rsidRPr="00BA363D">
        <w:rPr>
          <w:rFonts w:asciiTheme="minorHAnsi" w:hAnsiTheme="minorHAnsi" w:cstheme="minorHAnsi"/>
          <w:sz w:val="20"/>
          <w:szCs w:val="20"/>
        </w:rPr>
        <w:t>The UE is expected to decode all PSCCHs present in a subframe. For a 20 MHz carrier and a 5 RB subchannel configuration, this results in 20 PS</w:t>
      </w:r>
      <w:r w:rsidR="003634B4">
        <w:rPr>
          <w:rFonts w:asciiTheme="minorHAnsi" w:hAnsiTheme="minorHAnsi" w:cstheme="minorHAnsi"/>
          <w:sz w:val="20"/>
          <w:szCs w:val="20"/>
        </w:rPr>
        <w:t>C</w:t>
      </w:r>
      <w:r w:rsidRPr="00BA363D">
        <w:rPr>
          <w:rFonts w:asciiTheme="minorHAnsi" w:hAnsiTheme="minorHAnsi" w:cstheme="minorHAnsi"/>
          <w:sz w:val="20"/>
          <w:szCs w:val="20"/>
        </w:rPr>
        <w:t>CHs and 40 RBs.</w:t>
      </w:r>
    </w:p>
    <w:p w:rsidR="00D67A80" w:rsidRPr="00BA363D" w:rsidRDefault="00D67A80" w:rsidP="008A2505">
      <w:pPr>
        <w:pStyle w:val="ListParagraph"/>
        <w:numPr>
          <w:ilvl w:val="0"/>
          <w:numId w:val="10"/>
        </w:numPr>
        <w:jc w:val="both"/>
        <w:rPr>
          <w:rFonts w:asciiTheme="minorHAnsi" w:hAnsiTheme="minorHAnsi" w:cstheme="minorHAnsi"/>
          <w:sz w:val="20"/>
          <w:szCs w:val="20"/>
        </w:rPr>
      </w:pPr>
      <w:r w:rsidRPr="00BA363D">
        <w:rPr>
          <w:rFonts w:asciiTheme="minorHAnsi" w:hAnsiTheme="minorHAnsi" w:cstheme="minorHAnsi"/>
          <w:sz w:val="20"/>
          <w:szCs w:val="20"/>
        </w:rPr>
        <w:t>The UE is expected to decode a single full bandw</w:t>
      </w:r>
      <w:r w:rsidR="003634B4">
        <w:rPr>
          <w:rFonts w:asciiTheme="minorHAnsi" w:hAnsiTheme="minorHAnsi" w:cstheme="minorHAnsi"/>
          <w:sz w:val="20"/>
          <w:szCs w:val="20"/>
        </w:rPr>
        <w:t>i</w:t>
      </w:r>
      <w:r w:rsidRPr="00BA363D">
        <w:rPr>
          <w:rFonts w:asciiTheme="minorHAnsi" w:hAnsiTheme="minorHAnsi" w:cstheme="minorHAnsi"/>
          <w:sz w:val="20"/>
          <w:szCs w:val="20"/>
        </w:rPr>
        <w:t>dth transmission. For a 20 MHz carrier, this corresponds to 98 RBs.</w:t>
      </w:r>
    </w:p>
    <w:p w:rsidR="00D67A80" w:rsidRPr="00BA363D" w:rsidRDefault="00D67A80" w:rsidP="00EE00BD">
      <w:pPr>
        <w:spacing w:before="240"/>
        <w:jc w:val="both"/>
        <w:rPr>
          <w:rFonts w:asciiTheme="minorHAnsi" w:hAnsiTheme="minorHAnsi" w:cstheme="minorHAnsi"/>
        </w:rPr>
      </w:pPr>
      <w:r w:rsidRPr="00BA363D">
        <w:rPr>
          <w:rFonts w:asciiTheme="minorHAnsi" w:hAnsiTheme="minorHAnsi" w:cstheme="minorHAnsi"/>
        </w:rPr>
        <w:t>This results in the following requirements:</w:t>
      </w:r>
    </w:p>
    <w:p w:rsidR="00D67A80" w:rsidRPr="00BA363D" w:rsidRDefault="00D67A80" w:rsidP="008A2505">
      <w:pPr>
        <w:pStyle w:val="ListParagraph"/>
        <w:numPr>
          <w:ilvl w:val="0"/>
          <w:numId w:val="11"/>
        </w:numPr>
        <w:jc w:val="both"/>
        <w:rPr>
          <w:rFonts w:asciiTheme="minorHAnsi" w:hAnsiTheme="minorHAnsi" w:cstheme="minorHAnsi"/>
          <w:sz w:val="20"/>
          <w:szCs w:val="20"/>
        </w:rPr>
      </w:pPr>
      <w:r w:rsidRPr="00BA363D">
        <w:rPr>
          <w:rFonts w:asciiTheme="minorHAnsi" w:eastAsia="Malgun Gothic" w:hAnsiTheme="minorHAnsi" w:cstheme="minorHAnsi"/>
          <w:sz w:val="20"/>
          <w:szCs w:val="20"/>
        </w:rPr>
        <w:t>A UE is not expected to try to decode more than 138 RBs in a subframe.</w:t>
      </w:r>
    </w:p>
    <w:p w:rsidR="00D67A80" w:rsidRPr="00BA363D" w:rsidRDefault="00D67A80" w:rsidP="008A2505">
      <w:pPr>
        <w:pStyle w:val="ListParagraph"/>
        <w:numPr>
          <w:ilvl w:val="0"/>
          <w:numId w:val="11"/>
        </w:numPr>
        <w:jc w:val="both"/>
        <w:rPr>
          <w:rFonts w:asciiTheme="minorHAnsi" w:hAnsiTheme="minorHAnsi" w:cstheme="minorHAnsi"/>
          <w:sz w:val="20"/>
          <w:szCs w:val="20"/>
        </w:rPr>
      </w:pPr>
      <w:r w:rsidRPr="00BA363D">
        <w:rPr>
          <w:rFonts w:asciiTheme="minorHAnsi" w:eastAsia="Malgun Gothic" w:hAnsiTheme="minorHAnsi" w:cstheme="minorHAnsi"/>
          <w:sz w:val="20"/>
          <w:szCs w:val="20"/>
        </w:rPr>
        <w:t>A UE is not expected to try to decode more than 20 PSCCHs in a subframe.</w:t>
      </w:r>
    </w:p>
    <w:p w:rsidR="008D22E7" w:rsidRPr="00BA363D" w:rsidRDefault="0046726D" w:rsidP="00EE00BD">
      <w:pPr>
        <w:spacing w:before="240"/>
        <w:jc w:val="both"/>
        <w:rPr>
          <w:rFonts w:asciiTheme="minorHAnsi" w:hAnsiTheme="minorHAnsi" w:cstheme="minorHAnsi"/>
        </w:rPr>
      </w:pPr>
      <w:r w:rsidRPr="00BA363D">
        <w:rPr>
          <w:rFonts w:asciiTheme="minorHAnsi" w:hAnsiTheme="minorHAnsi" w:cstheme="minorHAnsi"/>
        </w:rPr>
        <w:t>As we have stated above, these requirements are obtained through a simplification. In practice, they may not suffice to cover all cases. Consider the following example in a 20 MHz carrier:</w:t>
      </w:r>
    </w:p>
    <w:p w:rsidR="0046726D" w:rsidRPr="00BA363D" w:rsidRDefault="0091568C" w:rsidP="008A2505">
      <w:pPr>
        <w:pStyle w:val="ListParagraph"/>
        <w:numPr>
          <w:ilvl w:val="0"/>
          <w:numId w:val="12"/>
        </w:numPr>
        <w:jc w:val="both"/>
        <w:rPr>
          <w:rFonts w:asciiTheme="minorHAnsi" w:hAnsiTheme="minorHAnsi" w:cstheme="minorHAnsi"/>
          <w:sz w:val="20"/>
          <w:szCs w:val="20"/>
        </w:rPr>
      </w:pPr>
      <w:r w:rsidRPr="00BA363D">
        <w:rPr>
          <w:rFonts w:asciiTheme="minorHAnsi" w:hAnsiTheme="minorHAnsi" w:cstheme="minorHAnsi"/>
          <w:sz w:val="20"/>
          <w:szCs w:val="20"/>
        </w:rPr>
        <w:t>UE1 transmits over the entire system bandwidth (i.e., 98 RBs for data)</w:t>
      </w:r>
    </w:p>
    <w:p w:rsidR="0091568C" w:rsidRPr="00BA363D" w:rsidRDefault="0091568C" w:rsidP="008A2505">
      <w:pPr>
        <w:pStyle w:val="ListParagraph"/>
        <w:numPr>
          <w:ilvl w:val="0"/>
          <w:numId w:val="12"/>
        </w:numPr>
        <w:jc w:val="both"/>
        <w:rPr>
          <w:rFonts w:asciiTheme="minorHAnsi" w:hAnsiTheme="minorHAnsi" w:cstheme="minorHAnsi"/>
          <w:sz w:val="20"/>
          <w:szCs w:val="20"/>
        </w:rPr>
      </w:pPr>
      <w:r w:rsidRPr="00BA363D">
        <w:rPr>
          <w:rFonts w:asciiTheme="minorHAnsi" w:hAnsiTheme="minorHAnsi" w:cstheme="minorHAnsi"/>
          <w:sz w:val="20"/>
          <w:szCs w:val="20"/>
        </w:rPr>
        <w:t>UE2 transmits over a single subchannel (i.e., 3 RBs for data).</w:t>
      </w:r>
    </w:p>
    <w:p w:rsidR="0091568C" w:rsidRPr="00BA363D" w:rsidRDefault="0091568C" w:rsidP="008A2505">
      <w:pPr>
        <w:spacing w:before="240"/>
        <w:jc w:val="both"/>
        <w:rPr>
          <w:rFonts w:asciiTheme="minorHAnsi" w:hAnsiTheme="minorHAnsi" w:cstheme="minorHAnsi"/>
        </w:rPr>
      </w:pPr>
      <w:r w:rsidRPr="00BA363D">
        <w:rPr>
          <w:rFonts w:asciiTheme="minorHAnsi" w:hAnsiTheme="minorHAnsi" w:cstheme="minorHAnsi"/>
        </w:rPr>
        <w:t xml:space="preserve">A receiving UE decodes correctly both PSCCH transmissions. It is likely that the UE can also decode correctly the two associated PSSCH transmissions. </w:t>
      </w:r>
      <w:r w:rsidR="008A2505">
        <w:rPr>
          <w:rFonts w:asciiTheme="minorHAnsi" w:hAnsiTheme="minorHAnsi" w:cstheme="minorHAnsi"/>
        </w:rPr>
        <w:t xml:space="preserve">For example, if UE1 and UE2 are located at the same distance from the receiving UE, the transmission by UE2 will have a higher PSD (since it is narrowband) ensuring a high-enough SNR; whereas the transmission by UE1 will not be severly affected by the narrowband collision. However, for the decoder this would resultss in </w:t>
      </w:r>
      <w:r w:rsidRPr="00BA363D">
        <w:rPr>
          <w:rFonts w:asciiTheme="minorHAnsi" w:hAnsiTheme="minorHAnsi" w:cstheme="minorHAnsi"/>
        </w:rPr>
        <w:t>the following:</w:t>
      </w:r>
    </w:p>
    <w:p w:rsidR="0091568C" w:rsidRPr="00BA363D" w:rsidRDefault="0091568C" w:rsidP="008A2505">
      <w:pPr>
        <w:pStyle w:val="ListParagraph"/>
        <w:numPr>
          <w:ilvl w:val="0"/>
          <w:numId w:val="13"/>
        </w:numPr>
        <w:jc w:val="both"/>
        <w:rPr>
          <w:rFonts w:asciiTheme="minorHAnsi" w:hAnsiTheme="minorHAnsi" w:cstheme="minorHAnsi"/>
          <w:sz w:val="20"/>
          <w:szCs w:val="20"/>
        </w:rPr>
      </w:pPr>
      <w:r w:rsidRPr="00BA363D">
        <w:rPr>
          <w:rFonts w:asciiTheme="minorHAnsi" w:hAnsiTheme="minorHAnsi" w:cstheme="minorHAnsi"/>
          <w:sz w:val="20"/>
          <w:szCs w:val="20"/>
        </w:rPr>
        <w:t>40 RBs are consumed for blind decoding of PSCCHs.</w:t>
      </w:r>
    </w:p>
    <w:p w:rsidR="0091568C" w:rsidRPr="00BA363D" w:rsidRDefault="0091568C" w:rsidP="008A2505">
      <w:pPr>
        <w:pStyle w:val="ListParagraph"/>
        <w:numPr>
          <w:ilvl w:val="0"/>
          <w:numId w:val="13"/>
        </w:numPr>
        <w:jc w:val="both"/>
        <w:rPr>
          <w:rFonts w:asciiTheme="minorHAnsi" w:hAnsiTheme="minorHAnsi" w:cstheme="minorHAnsi"/>
          <w:sz w:val="20"/>
          <w:szCs w:val="20"/>
        </w:rPr>
      </w:pPr>
      <w:r w:rsidRPr="00BA363D">
        <w:rPr>
          <w:rFonts w:asciiTheme="minorHAnsi" w:hAnsiTheme="minorHAnsi" w:cstheme="minorHAnsi"/>
          <w:sz w:val="20"/>
          <w:szCs w:val="20"/>
        </w:rPr>
        <w:t>98 RBS are consumed for decoding the data transmission of UE1.</w:t>
      </w:r>
    </w:p>
    <w:p w:rsidR="0091568C" w:rsidRPr="00BA363D" w:rsidRDefault="0091568C" w:rsidP="008A2505">
      <w:pPr>
        <w:pStyle w:val="ListParagraph"/>
        <w:numPr>
          <w:ilvl w:val="0"/>
          <w:numId w:val="13"/>
        </w:numPr>
        <w:jc w:val="both"/>
        <w:rPr>
          <w:rFonts w:asciiTheme="minorHAnsi" w:hAnsiTheme="minorHAnsi" w:cstheme="minorHAnsi"/>
          <w:sz w:val="20"/>
          <w:szCs w:val="20"/>
        </w:rPr>
      </w:pPr>
      <w:r w:rsidRPr="00BA363D">
        <w:rPr>
          <w:rFonts w:asciiTheme="minorHAnsi" w:hAnsiTheme="minorHAnsi" w:cstheme="minorHAnsi"/>
          <w:sz w:val="20"/>
          <w:szCs w:val="20"/>
        </w:rPr>
        <w:t>3 RBs are consumed for decoding the data transmission of UE2.</w:t>
      </w:r>
    </w:p>
    <w:p w:rsidR="0091568C" w:rsidRPr="00BA363D" w:rsidRDefault="0091568C" w:rsidP="00EE00BD">
      <w:pPr>
        <w:spacing w:before="240"/>
        <w:jc w:val="both"/>
        <w:rPr>
          <w:rFonts w:asciiTheme="minorHAnsi" w:hAnsiTheme="minorHAnsi" w:cstheme="minorHAnsi"/>
        </w:rPr>
      </w:pPr>
      <w:r w:rsidRPr="00BA363D">
        <w:rPr>
          <w:rFonts w:asciiTheme="minorHAnsi" w:hAnsiTheme="minorHAnsi" w:cstheme="minorHAnsi"/>
        </w:rPr>
        <w:t>In total, 141 RBs would have to be decoded, exceeding the requirement on 138. In practice, the UE would have to choose which of the two transmissions to decode.</w:t>
      </w:r>
    </w:p>
    <w:p w:rsidR="0091568C" w:rsidRPr="00EE00BD" w:rsidRDefault="0091568C" w:rsidP="00EE00BD">
      <w:pPr>
        <w:spacing w:before="240"/>
        <w:jc w:val="both"/>
        <w:rPr>
          <w:rFonts w:asciiTheme="minorHAnsi" w:hAnsiTheme="minorHAnsi" w:cstheme="minorHAnsi"/>
        </w:rPr>
      </w:pPr>
      <w:r w:rsidRPr="00BA363D">
        <w:rPr>
          <w:rFonts w:asciiTheme="minorHAnsi" w:hAnsiTheme="minorHAnsi" w:cstheme="minorHAnsi"/>
        </w:rPr>
        <w:t>Given the semi-persistent transmission schemed used in LTE-V2V, it is likely that this problem is repeated over multiple transmissions. It is therefore important to introduce decoding rules to ensure that the receiver does not systematically skip decoding the transmissions of certain</w:t>
      </w:r>
      <w:r>
        <w:rPr>
          <w:rFonts w:asciiTheme="minorHAnsi" w:hAnsiTheme="minorHAnsi" w:cstheme="minorHAnsi"/>
        </w:rPr>
        <w:t xml:space="preserve"> UEs.</w:t>
      </w:r>
    </w:p>
    <w:p w:rsidR="00332F7B" w:rsidRDefault="00332F7B" w:rsidP="00EE00BD">
      <w:pPr>
        <w:jc w:val="both"/>
        <w:rPr>
          <w:rFonts w:asciiTheme="minorHAnsi" w:hAnsiTheme="minorHAnsi" w:cstheme="minorHAnsi"/>
          <w:b/>
          <w:i/>
        </w:rPr>
      </w:pPr>
    </w:p>
    <w:p w:rsidR="00064649" w:rsidRPr="005B1D9F" w:rsidRDefault="008E5D60" w:rsidP="005B1D9F">
      <w:pPr>
        <w:spacing w:after="240"/>
        <w:jc w:val="both"/>
        <w:rPr>
          <w:rFonts w:asciiTheme="minorHAnsi" w:hAnsiTheme="minorHAnsi" w:cstheme="minorHAnsi"/>
          <w:b/>
          <w:i/>
        </w:rPr>
      </w:pPr>
      <w:r w:rsidRPr="005B1D9F">
        <w:rPr>
          <w:rFonts w:asciiTheme="minorHAnsi" w:hAnsiTheme="minorHAnsi" w:cstheme="minorHAnsi"/>
          <w:b/>
          <w:i/>
        </w:rPr>
        <w:lastRenderedPageBreak/>
        <w:t xml:space="preserve">Proposal 1: </w:t>
      </w:r>
      <w:r w:rsidR="00064649" w:rsidRPr="005B1D9F">
        <w:rPr>
          <w:rFonts w:asciiTheme="minorHAnsi" w:hAnsiTheme="minorHAnsi" w:cstheme="minorHAnsi"/>
          <w:b/>
          <w:i/>
        </w:rPr>
        <w:t xml:space="preserve">The minimum requirements on UE decoding capabilities are sufficient to ensure decoding of all PSCCHs in a subframe and </w:t>
      </w:r>
      <w:r w:rsidR="00F03010" w:rsidRPr="005B1D9F">
        <w:rPr>
          <w:rFonts w:asciiTheme="minorHAnsi" w:hAnsiTheme="minorHAnsi" w:cstheme="minorHAnsi"/>
          <w:b/>
          <w:i/>
        </w:rPr>
        <w:t>a full bandwidth data transmission in the same subframe</w:t>
      </w:r>
      <w:r w:rsidR="0046726D" w:rsidRPr="005B1D9F">
        <w:rPr>
          <w:rFonts w:asciiTheme="minorHAnsi" w:hAnsiTheme="minorHAnsi" w:cstheme="minorHAnsi"/>
          <w:b/>
          <w:i/>
        </w:rPr>
        <w:t>:</w:t>
      </w:r>
    </w:p>
    <w:p w:rsidR="00D67A80" w:rsidRPr="00EE00BD" w:rsidRDefault="00D67A80" w:rsidP="00CE5154">
      <w:pPr>
        <w:pStyle w:val="ListParagraph"/>
        <w:numPr>
          <w:ilvl w:val="1"/>
          <w:numId w:val="9"/>
        </w:numPr>
        <w:spacing w:after="240"/>
        <w:jc w:val="both"/>
        <w:rPr>
          <w:rFonts w:asciiTheme="minorHAnsi" w:hAnsiTheme="minorHAnsi" w:cstheme="minorHAnsi"/>
          <w:b/>
          <w:i/>
          <w:sz w:val="20"/>
          <w:szCs w:val="20"/>
        </w:rPr>
      </w:pPr>
      <w:r w:rsidRPr="00EE00BD">
        <w:rPr>
          <w:rFonts w:asciiTheme="minorHAnsi" w:eastAsia="Malgun Gothic" w:hAnsiTheme="minorHAnsi" w:cstheme="minorHAnsi"/>
          <w:b/>
          <w:i/>
          <w:sz w:val="20"/>
          <w:szCs w:val="20"/>
        </w:rPr>
        <w:t>A UE is not expected to try to decode more than 138 RBs in a subframe.</w:t>
      </w:r>
    </w:p>
    <w:p w:rsidR="00D67A80" w:rsidRPr="00EE00BD" w:rsidRDefault="00D67A80" w:rsidP="00CE5154">
      <w:pPr>
        <w:pStyle w:val="ListParagraph"/>
        <w:numPr>
          <w:ilvl w:val="1"/>
          <w:numId w:val="9"/>
        </w:numPr>
        <w:spacing w:after="240"/>
        <w:jc w:val="both"/>
        <w:rPr>
          <w:rFonts w:asciiTheme="minorHAnsi" w:hAnsiTheme="minorHAnsi" w:cstheme="minorHAnsi"/>
          <w:b/>
          <w:i/>
          <w:sz w:val="20"/>
          <w:szCs w:val="20"/>
        </w:rPr>
      </w:pPr>
      <w:r w:rsidRPr="00EE00BD">
        <w:rPr>
          <w:rFonts w:asciiTheme="minorHAnsi" w:eastAsia="Malgun Gothic" w:hAnsiTheme="minorHAnsi" w:cstheme="minorHAnsi"/>
          <w:b/>
          <w:i/>
          <w:sz w:val="20"/>
          <w:szCs w:val="20"/>
        </w:rPr>
        <w:t>A UE is not expected to try to decode more than 20 PSCCHs in a subframe.</w:t>
      </w:r>
    </w:p>
    <w:p w:rsidR="00064649" w:rsidRPr="001C75E2" w:rsidRDefault="008E5D60" w:rsidP="005B1D9F">
      <w:pPr>
        <w:spacing w:after="240"/>
        <w:jc w:val="both"/>
      </w:pPr>
      <w:r w:rsidRPr="005B1D9F">
        <w:rPr>
          <w:rFonts w:asciiTheme="minorHAnsi" w:hAnsiTheme="minorHAnsi" w:cstheme="minorHAnsi"/>
          <w:b/>
          <w:i/>
        </w:rPr>
        <w:t xml:space="preserve">Proposal 2: </w:t>
      </w:r>
      <w:r w:rsidR="0046726D" w:rsidRPr="005B1D9F">
        <w:rPr>
          <w:rFonts w:asciiTheme="minorHAnsi" w:hAnsiTheme="minorHAnsi" w:cstheme="minorHAnsi"/>
          <w:b/>
          <w:i/>
        </w:rPr>
        <w:t>Decoding</w:t>
      </w:r>
      <w:r w:rsidR="00F03010" w:rsidRPr="005B1D9F">
        <w:rPr>
          <w:rFonts w:asciiTheme="minorHAnsi" w:hAnsiTheme="minorHAnsi" w:cstheme="minorHAnsi"/>
          <w:b/>
          <w:i/>
        </w:rPr>
        <w:t xml:space="preserve"> rules are introduced to ensure that transmissions from a given UE are not systematically dropped.</w:t>
      </w:r>
    </w:p>
    <w:p w:rsidR="00D0339F" w:rsidRPr="00744368" w:rsidRDefault="00D0339F" w:rsidP="00D0339F">
      <w:pPr>
        <w:pStyle w:val="Heading1"/>
      </w:pPr>
      <w:r w:rsidRPr="00744368">
        <w:t>Conclusions</w:t>
      </w:r>
      <w:r w:rsidR="00A11B11" w:rsidRPr="00744368">
        <w:t xml:space="preserve"> </w:t>
      </w:r>
    </w:p>
    <w:p w:rsidR="00974BAB" w:rsidRPr="008A4ECF" w:rsidRDefault="00974BAB" w:rsidP="004C38AA">
      <w:pPr>
        <w:jc w:val="both"/>
      </w:pPr>
      <w:r w:rsidRPr="008A4ECF">
        <w:t>In this paper we have proposed the following</w:t>
      </w:r>
    </w:p>
    <w:p w:rsidR="008E5D60" w:rsidRPr="005B1D9F" w:rsidRDefault="008E5D60" w:rsidP="005B1D9F">
      <w:pPr>
        <w:spacing w:after="240"/>
        <w:jc w:val="both"/>
        <w:rPr>
          <w:rFonts w:asciiTheme="minorHAnsi" w:hAnsiTheme="minorHAnsi" w:cstheme="minorHAnsi"/>
          <w:b/>
          <w:i/>
        </w:rPr>
      </w:pPr>
      <w:r w:rsidRPr="005B1D9F">
        <w:rPr>
          <w:rFonts w:asciiTheme="minorHAnsi" w:hAnsiTheme="minorHAnsi" w:cstheme="minorHAnsi"/>
          <w:b/>
          <w:i/>
        </w:rPr>
        <w:t>Proposal 1: The minimum requirements on UE decoding capabilities are sufficient to ensure decoding of all PSCCHs in a subframe and a full bandwidth data transmission in the same subframe:</w:t>
      </w:r>
    </w:p>
    <w:p w:rsidR="008E5D60" w:rsidRPr="00EE00BD" w:rsidRDefault="008E5D60" w:rsidP="00CE5154">
      <w:pPr>
        <w:pStyle w:val="ListParagraph"/>
        <w:numPr>
          <w:ilvl w:val="1"/>
          <w:numId w:val="9"/>
        </w:numPr>
        <w:spacing w:after="240"/>
        <w:jc w:val="both"/>
        <w:rPr>
          <w:rFonts w:asciiTheme="minorHAnsi" w:hAnsiTheme="minorHAnsi" w:cstheme="minorHAnsi"/>
          <w:b/>
          <w:i/>
          <w:sz w:val="20"/>
          <w:szCs w:val="20"/>
        </w:rPr>
      </w:pPr>
      <w:r w:rsidRPr="00EE00BD">
        <w:rPr>
          <w:rFonts w:asciiTheme="minorHAnsi" w:eastAsia="Malgun Gothic" w:hAnsiTheme="minorHAnsi" w:cstheme="minorHAnsi"/>
          <w:b/>
          <w:i/>
          <w:sz w:val="20"/>
          <w:szCs w:val="20"/>
        </w:rPr>
        <w:t>A UE is not expected to try to decode more than 138 RBs in a subframe.</w:t>
      </w:r>
    </w:p>
    <w:p w:rsidR="008E5D60" w:rsidRPr="00CE5154" w:rsidRDefault="008E5D60" w:rsidP="00CE5154">
      <w:pPr>
        <w:pStyle w:val="ListParagraph"/>
        <w:numPr>
          <w:ilvl w:val="1"/>
          <w:numId w:val="9"/>
        </w:numPr>
        <w:spacing w:after="240"/>
        <w:jc w:val="both"/>
        <w:rPr>
          <w:rFonts w:asciiTheme="minorHAnsi" w:hAnsiTheme="minorHAnsi" w:cstheme="minorHAnsi"/>
          <w:b/>
          <w:i/>
          <w:sz w:val="20"/>
          <w:szCs w:val="20"/>
        </w:rPr>
      </w:pPr>
      <w:r w:rsidRPr="00EE00BD">
        <w:rPr>
          <w:rFonts w:asciiTheme="minorHAnsi" w:eastAsia="Malgun Gothic" w:hAnsiTheme="minorHAnsi" w:cstheme="minorHAnsi"/>
          <w:b/>
          <w:i/>
          <w:sz w:val="20"/>
          <w:szCs w:val="20"/>
        </w:rPr>
        <w:t>A UE is not expected to try to decode more than 20 PSCCHs in a subframe.</w:t>
      </w:r>
    </w:p>
    <w:p w:rsidR="00332F7B" w:rsidRPr="005B1D9F" w:rsidRDefault="00332F7B" w:rsidP="005B1D9F">
      <w:pPr>
        <w:spacing w:after="240"/>
        <w:jc w:val="both"/>
        <w:rPr>
          <w:rFonts w:asciiTheme="minorHAnsi" w:hAnsiTheme="minorHAnsi" w:cstheme="minorHAnsi"/>
          <w:b/>
          <w:i/>
        </w:rPr>
      </w:pPr>
      <w:r w:rsidRPr="005B1D9F">
        <w:rPr>
          <w:rFonts w:asciiTheme="minorHAnsi" w:hAnsiTheme="minorHAnsi" w:cstheme="minorHAnsi"/>
          <w:b/>
          <w:i/>
        </w:rPr>
        <w:t>Proposal 2: Decoding rules are introduced to ensure that transmissions from a given UE are not systematically dropped.</w:t>
      </w:r>
    </w:p>
    <w:p w:rsidR="009A1074" w:rsidRPr="00DA1475" w:rsidRDefault="00C02A80" w:rsidP="00856691">
      <w:pPr>
        <w:pStyle w:val="Heading1"/>
      </w:pPr>
      <w:r w:rsidRPr="00DA1475">
        <w:t>References</w:t>
      </w:r>
    </w:p>
    <w:p w:rsidR="00FE6265" w:rsidRPr="004F5430" w:rsidRDefault="00BB5340" w:rsidP="008A2505">
      <w:pPr>
        <w:numPr>
          <w:ilvl w:val="0"/>
          <w:numId w:val="7"/>
        </w:numPr>
        <w:ind w:hanging="720"/>
      </w:pPr>
      <w:bookmarkStart w:id="5" w:name="_Ref458436874"/>
      <w:bookmarkStart w:id="6" w:name="_Ref442446938"/>
      <w:r w:rsidRPr="004F5430">
        <w:rPr>
          <w:color w:val="312E25"/>
          <w:lang w:eastAsia="sv-SE"/>
        </w:rPr>
        <w:t>RAN1#</w:t>
      </w:r>
      <w:r w:rsidR="00EE00BD" w:rsidRPr="004F5430">
        <w:rPr>
          <w:color w:val="312E25"/>
          <w:lang w:eastAsia="sv-SE"/>
        </w:rPr>
        <w:t>8</w:t>
      </w:r>
      <w:r w:rsidR="00EE00BD">
        <w:rPr>
          <w:color w:val="312E25"/>
          <w:lang w:eastAsia="sv-SE"/>
        </w:rPr>
        <w:t>6</w:t>
      </w:r>
      <w:r w:rsidRPr="004F5430">
        <w:rPr>
          <w:color w:val="312E25"/>
          <w:lang w:eastAsia="sv-SE"/>
        </w:rPr>
        <w:t>, Chairman’s notes</w:t>
      </w:r>
      <w:bookmarkEnd w:id="5"/>
    </w:p>
    <w:bookmarkEnd w:id="6"/>
    <w:bookmarkEnd w:id="2"/>
    <w:p w:rsidR="008266A1" w:rsidRPr="008266A1" w:rsidRDefault="008266A1" w:rsidP="008266A1">
      <w:pPr>
        <w:rPr>
          <w:lang w:val="en-US"/>
        </w:rPr>
      </w:pPr>
    </w:p>
    <w:sectPr w:rsidR="008266A1" w:rsidRPr="008266A1" w:rsidSect="004B319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7A0" w:rsidRDefault="006347A0">
      <w:r>
        <w:separator/>
      </w:r>
    </w:p>
  </w:endnote>
  <w:endnote w:type="continuationSeparator" w:id="0">
    <w:p w:rsidR="006347A0" w:rsidRDefault="00634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7A0" w:rsidRDefault="006347A0">
      <w:r>
        <w:separator/>
      </w:r>
    </w:p>
  </w:footnote>
  <w:footnote w:type="continuationSeparator" w:id="0">
    <w:p w:rsidR="006347A0" w:rsidRDefault="00634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E40D0F"/>
    <w:multiLevelType w:val="multilevel"/>
    <w:tmpl w:val="40BCC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3B068B"/>
    <w:multiLevelType w:val="hybridMultilevel"/>
    <w:tmpl w:val="55A288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B580124"/>
    <w:multiLevelType w:val="hybridMultilevel"/>
    <w:tmpl w:val="D76619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A0C7B"/>
    <w:multiLevelType w:val="hybridMultilevel"/>
    <w:tmpl w:val="C35654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5F463A7C"/>
    <w:multiLevelType w:val="hybridMultilevel"/>
    <w:tmpl w:val="BEB48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DD2B57"/>
    <w:multiLevelType w:val="hybridMultilevel"/>
    <w:tmpl w:val="C526C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9"/>
  </w:num>
  <w:num w:numId="2">
    <w:abstractNumId w:val="12"/>
  </w:num>
  <w:num w:numId="3">
    <w:abstractNumId w:val="11"/>
  </w:num>
  <w:num w:numId="4">
    <w:abstractNumId w:val="5"/>
  </w:num>
  <w:num w:numId="5">
    <w:abstractNumId w:val="6"/>
  </w:num>
  <w:num w:numId="6">
    <w:abstractNumId w:val="14"/>
  </w:num>
  <w:num w:numId="7">
    <w:abstractNumId w:val="8"/>
  </w:num>
  <w:num w:numId="8">
    <w:abstractNumId w:val="7"/>
  </w:num>
  <w:num w:numId="9">
    <w:abstractNumId w:val="2"/>
  </w:num>
  <w:num w:numId="10">
    <w:abstractNumId w:val="10"/>
  </w:num>
  <w:num w:numId="11">
    <w:abstractNumId w:val="13"/>
  </w:num>
  <w:num w:numId="12">
    <w:abstractNumId w:val="3"/>
  </w:num>
  <w:num w:numId="13">
    <w:abstractNumId w:val="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39"/>
    <w:rsid w:val="000043A0"/>
    <w:rsid w:val="0000448A"/>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CEB"/>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4A"/>
    <w:rsid w:val="00035ECC"/>
    <w:rsid w:val="00036D0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CB"/>
    <w:rsid w:val="00041D31"/>
    <w:rsid w:val="000420B4"/>
    <w:rsid w:val="00042142"/>
    <w:rsid w:val="00042BB8"/>
    <w:rsid w:val="000436DB"/>
    <w:rsid w:val="000438BB"/>
    <w:rsid w:val="00043A95"/>
    <w:rsid w:val="00043B36"/>
    <w:rsid w:val="00043E1C"/>
    <w:rsid w:val="00043F81"/>
    <w:rsid w:val="000447AE"/>
    <w:rsid w:val="00044DEB"/>
    <w:rsid w:val="0004518E"/>
    <w:rsid w:val="000451DD"/>
    <w:rsid w:val="00045A2D"/>
    <w:rsid w:val="00045D4D"/>
    <w:rsid w:val="0004604D"/>
    <w:rsid w:val="00046246"/>
    <w:rsid w:val="0004651E"/>
    <w:rsid w:val="00046863"/>
    <w:rsid w:val="00046ACD"/>
    <w:rsid w:val="000470C0"/>
    <w:rsid w:val="00047410"/>
    <w:rsid w:val="000478A8"/>
    <w:rsid w:val="00047B7C"/>
    <w:rsid w:val="00050246"/>
    <w:rsid w:val="00050459"/>
    <w:rsid w:val="0005053C"/>
    <w:rsid w:val="00050699"/>
    <w:rsid w:val="00050934"/>
    <w:rsid w:val="00050B61"/>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5E87"/>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49"/>
    <w:rsid w:val="0006467E"/>
    <w:rsid w:val="000652BD"/>
    <w:rsid w:val="000658C8"/>
    <w:rsid w:val="00066208"/>
    <w:rsid w:val="000663D0"/>
    <w:rsid w:val="000668F5"/>
    <w:rsid w:val="00066B95"/>
    <w:rsid w:val="00066BE5"/>
    <w:rsid w:val="00066D93"/>
    <w:rsid w:val="00067036"/>
    <w:rsid w:val="00067797"/>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DF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6C3"/>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98"/>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326C"/>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57"/>
    <w:rsid w:val="000F4F15"/>
    <w:rsid w:val="000F560F"/>
    <w:rsid w:val="000F579B"/>
    <w:rsid w:val="000F5F76"/>
    <w:rsid w:val="000F6877"/>
    <w:rsid w:val="000F6D39"/>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281"/>
    <w:rsid w:val="0010481C"/>
    <w:rsid w:val="0010485E"/>
    <w:rsid w:val="0010583A"/>
    <w:rsid w:val="00105D75"/>
    <w:rsid w:val="00105E9A"/>
    <w:rsid w:val="0010621D"/>
    <w:rsid w:val="00106D66"/>
    <w:rsid w:val="00106DF9"/>
    <w:rsid w:val="001077CB"/>
    <w:rsid w:val="001079AB"/>
    <w:rsid w:val="001079B8"/>
    <w:rsid w:val="00107DBD"/>
    <w:rsid w:val="001100B2"/>
    <w:rsid w:val="00110192"/>
    <w:rsid w:val="0011065F"/>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D24"/>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19B"/>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365"/>
    <w:rsid w:val="0019044D"/>
    <w:rsid w:val="001907B3"/>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BA"/>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822"/>
    <w:rsid w:val="001A6BB7"/>
    <w:rsid w:val="001A7040"/>
    <w:rsid w:val="001A70C6"/>
    <w:rsid w:val="001A747D"/>
    <w:rsid w:val="001A74DA"/>
    <w:rsid w:val="001A7501"/>
    <w:rsid w:val="001A7B7F"/>
    <w:rsid w:val="001B01F8"/>
    <w:rsid w:val="001B0767"/>
    <w:rsid w:val="001B0D05"/>
    <w:rsid w:val="001B0E4C"/>
    <w:rsid w:val="001B108A"/>
    <w:rsid w:val="001B1300"/>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2A5"/>
    <w:rsid w:val="001C6301"/>
    <w:rsid w:val="001C63F7"/>
    <w:rsid w:val="001C6A14"/>
    <w:rsid w:val="001C7007"/>
    <w:rsid w:val="001C75E2"/>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D02"/>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2E4E"/>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3E25"/>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985"/>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239"/>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DCC"/>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90E"/>
    <w:rsid w:val="00262D2C"/>
    <w:rsid w:val="00262E4F"/>
    <w:rsid w:val="00262FC5"/>
    <w:rsid w:val="002630D7"/>
    <w:rsid w:val="00263194"/>
    <w:rsid w:val="0026350E"/>
    <w:rsid w:val="00263956"/>
    <w:rsid w:val="00263DC8"/>
    <w:rsid w:val="00264469"/>
    <w:rsid w:val="002648D6"/>
    <w:rsid w:val="002656C7"/>
    <w:rsid w:val="002658C0"/>
    <w:rsid w:val="00265C4B"/>
    <w:rsid w:val="002662B7"/>
    <w:rsid w:val="00266979"/>
    <w:rsid w:val="00266E8D"/>
    <w:rsid w:val="00266F1D"/>
    <w:rsid w:val="00267557"/>
    <w:rsid w:val="00267886"/>
    <w:rsid w:val="00267B44"/>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A2C"/>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60C"/>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C78"/>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2CAF"/>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F7A"/>
    <w:rsid w:val="00312FC2"/>
    <w:rsid w:val="00313025"/>
    <w:rsid w:val="0031351B"/>
    <w:rsid w:val="0031357A"/>
    <w:rsid w:val="00313778"/>
    <w:rsid w:val="00313B82"/>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135"/>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7B"/>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D1"/>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3BE"/>
    <w:rsid w:val="003634B4"/>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775DC"/>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51"/>
    <w:rsid w:val="003B2FDE"/>
    <w:rsid w:val="003B3077"/>
    <w:rsid w:val="003B34D7"/>
    <w:rsid w:val="003B3C8D"/>
    <w:rsid w:val="003B42A8"/>
    <w:rsid w:val="003B4489"/>
    <w:rsid w:val="003B44BB"/>
    <w:rsid w:val="003B4509"/>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4EE"/>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98"/>
    <w:rsid w:val="003D38DD"/>
    <w:rsid w:val="003D3947"/>
    <w:rsid w:val="003D3BE2"/>
    <w:rsid w:val="003D3FA4"/>
    <w:rsid w:val="003D43E9"/>
    <w:rsid w:val="003D4530"/>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2C9"/>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6B2"/>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8DD"/>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14"/>
    <w:rsid w:val="004350AB"/>
    <w:rsid w:val="00435471"/>
    <w:rsid w:val="00435895"/>
    <w:rsid w:val="004358CD"/>
    <w:rsid w:val="00435972"/>
    <w:rsid w:val="00436018"/>
    <w:rsid w:val="004364C5"/>
    <w:rsid w:val="00436FFD"/>
    <w:rsid w:val="0043746D"/>
    <w:rsid w:val="004374A3"/>
    <w:rsid w:val="00440391"/>
    <w:rsid w:val="00440E3D"/>
    <w:rsid w:val="004411FC"/>
    <w:rsid w:val="004413DB"/>
    <w:rsid w:val="00441942"/>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CFB"/>
    <w:rsid w:val="00457D66"/>
    <w:rsid w:val="00460357"/>
    <w:rsid w:val="0046085C"/>
    <w:rsid w:val="004609B5"/>
    <w:rsid w:val="004610B1"/>
    <w:rsid w:val="004612F3"/>
    <w:rsid w:val="0046146C"/>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26D"/>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10E"/>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18"/>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28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9B6"/>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49B"/>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2B0"/>
    <w:rsid w:val="004F5430"/>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11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1786"/>
    <w:rsid w:val="005220E2"/>
    <w:rsid w:val="005220E8"/>
    <w:rsid w:val="005223FA"/>
    <w:rsid w:val="00522C62"/>
    <w:rsid w:val="00522F4F"/>
    <w:rsid w:val="0052360D"/>
    <w:rsid w:val="00523C63"/>
    <w:rsid w:val="0052420C"/>
    <w:rsid w:val="00524282"/>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865"/>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2C6"/>
    <w:rsid w:val="00553326"/>
    <w:rsid w:val="00553E20"/>
    <w:rsid w:val="00554F12"/>
    <w:rsid w:val="0055546C"/>
    <w:rsid w:val="00555CD1"/>
    <w:rsid w:val="00555D66"/>
    <w:rsid w:val="0055612D"/>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0CB4"/>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4DC"/>
    <w:rsid w:val="005858B5"/>
    <w:rsid w:val="00585B53"/>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D9F"/>
    <w:rsid w:val="005B1E40"/>
    <w:rsid w:val="005B298C"/>
    <w:rsid w:val="005B29D0"/>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D81"/>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6D6E"/>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7A0"/>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692"/>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67F9A"/>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4FD"/>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DB0"/>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3F31"/>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1BE7"/>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AA1"/>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0B7"/>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2EA"/>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7F5"/>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862"/>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1F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14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5D7"/>
    <w:rsid w:val="007F38D8"/>
    <w:rsid w:val="007F396D"/>
    <w:rsid w:val="007F3B6E"/>
    <w:rsid w:val="007F56A7"/>
    <w:rsid w:val="007F5776"/>
    <w:rsid w:val="007F57C4"/>
    <w:rsid w:val="007F5A7C"/>
    <w:rsid w:val="007F5FF4"/>
    <w:rsid w:val="007F6187"/>
    <w:rsid w:val="007F61AC"/>
    <w:rsid w:val="007F63C3"/>
    <w:rsid w:val="007F649C"/>
    <w:rsid w:val="007F675C"/>
    <w:rsid w:val="007F680F"/>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DFD"/>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5A5"/>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6A"/>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505"/>
    <w:rsid w:val="008A297C"/>
    <w:rsid w:val="008A2FC9"/>
    <w:rsid w:val="008A31B4"/>
    <w:rsid w:val="008A3544"/>
    <w:rsid w:val="008A371E"/>
    <w:rsid w:val="008A3CF9"/>
    <w:rsid w:val="008A3D6E"/>
    <w:rsid w:val="008A3F08"/>
    <w:rsid w:val="008A4B9F"/>
    <w:rsid w:val="008A4C70"/>
    <w:rsid w:val="008A4C74"/>
    <w:rsid w:val="008A4D0C"/>
    <w:rsid w:val="008A4ECF"/>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6BF9"/>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2E7"/>
    <w:rsid w:val="008D26C7"/>
    <w:rsid w:val="008D2729"/>
    <w:rsid w:val="008D3962"/>
    <w:rsid w:val="008D3EF4"/>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5D60"/>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10"/>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68C"/>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0B"/>
    <w:rsid w:val="00930A80"/>
    <w:rsid w:val="00930B24"/>
    <w:rsid w:val="00930E8E"/>
    <w:rsid w:val="009310CD"/>
    <w:rsid w:val="009318F6"/>
    <w:rsid w:val="00931BF5"/>
    <w:rsid w:val="00931C40"/>
    <w:rsid w:val="00932831"/>
    <w:rsid w:val="00932AB8"/>
    <w:rsid w:val="009332BB"/>
    <w:rsid w:val="00933590"/>
    <w:rsid w:val="00933A22"/>
    <w:rsid w:val="00933EE9"/>
    <w:rsid w:val="0093421B"/>
    <w:rsid w:val="009349FE"/>
    <w:rsid w:val="00934C66"/>
    <w:rsid w:val="00934C6C"/>
    <w:rsid w:val="00934C86"/>
    <w:rsid w:val="00934E0F"/>
    <w:rsid w:val="00934FB2"/>
    <w:rsid w:val="00934FC7"/>
    <w:rsid w:val="009350A7"/>
    <w:rsid w:val="009351D2"/>
    <w:rsid w:val="00935786"/>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47EBD"/>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59C"/>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4BAB"/>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4E7"/>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07CF4"/>
    <w:rsid w:val="00A101B0"/>
    <w:rsid w:val="00A1032D"/>
    <w:rsid w:val="00A10461"/>
    <w:rsid w:val="00A104F2"/>
    <w:rsid w:val="00A105DA"/>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DC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EC2"/>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B0D"/>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2C1"/>
    <w:rsid w:val="00B06614"/>
    <w:rsid w:val="00B06793"/>
    <w:rsid w:val="00B07776"/>
    <w:rsid w:val="00B07D83"/>
    <w:rsid w:val="00B07DDD"/>
    <w:rsid w:val="00B07E24"/>
    <w:rsid w:val="00B100E8"/>
    <w:rsid w:val="00B10127"/>
    <w:rsid w:val="00B10438"/>
    <w:rsid w:val="00B1069C"/>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563"/>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17"/>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3FF"/>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55"/>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63D"/>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5A3"/>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38A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92A"/>
    <w:rsid w:val="00C17BFF"/>
    <w:rsid w:val="00C17D3C"/>
    <w:rsid w:val="00C208C2"/>
    <w:rsid w:val="00C20FD6"/>
    <w:rsid w:val="00C21109"/>
    <w:rsid w:val="00C21143"/>
    <w:rsid w:val="00C215AF"/>
    <w:rsid w:val="00C21727"/>
    <w:rsid w:val="00C218FC"/>
    <w:rsid w:val="00C21BB4"/>
    <w:rsid w:val="00C21C0D"/>
    <w:rsid w:val="00C21CDA"/>
    <w:rsid w:val="00C21DFE"/>
    <w:rsid w:val="00C22099"/>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1E8"/>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40D"/>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1B3"/>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2C9"/>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0BE"/>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154"/>
    <w:rsid w:val="00CE543C"/>
    <w:rsid w:val="00CE5488"/>
    <w:rsid w:val="00CE5A20"/>
    <w:rsid w:val="00CE63D0"/>
    <w:rsid w:val="00CE66CC"/>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A62"/>
    <w:rsid w:val="00D31CD5"/>
    <w:rsid w:val="00D325D3"/>
    <w:rsid w:val="00D326FC"/>
    <w:rsid w:val="00D3275C"/>
    <w:rsid w:val="00D32A01"/>
    <w:rsid w:val="00D331C6"/>
    <w:rsid w:val="00D33CCE"/>
    <w:rsid w:val="00D34177"/>
    <w:rsid w:val="00D3418D"/>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81B"/>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AF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A80"/>
    <w:rsid w:val="00D67C8C"/>
    <w:rsid w:val="00D702BC"/>
    <w:rsid w:val="00D70511"/>
    <w:rsid w:val="00D715D6"/>
    <w:rsid w:val="00D71C0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30"/>
    <w:rsid w:val="00D861BE"/>
    <w:rsid w:val="00D867CF"/>
    <w:rsid w:val="00D867D5"/>
    <w:rsid w:val="00D878AC"/>
    <w:rsid w:val="00D87DEF"/>
    <w:rsid w:val="00D9011E"/>
    <w:rsid w:val="00D901CF"/>
    <w:rsid w:val="00D908EC"/>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97974"/>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A09"/>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AB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9AE"/>
    <w:rsid w:val="00E23AAC"/>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B6D"/>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222"/>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77D01"/>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BD5"/>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0BD"/>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010"/>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1D99"/>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879"/>
    <w:rsid w:val="00F51FE8"/>
    <w:rsid w:val="00F52670"/>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7"/>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640"/>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4943"/>
    <w:rsid w:val="00FA5302"/>
    <w:rsid w:val="00FA5EE0"/>
    <w:rsid w:val="00FA6661"/>
    <w:rsid w:val="00FA70D5"/>
    <w:rsid w:val="00FA739E"/>
    <w:rsid w:val="00FA76F4"/>
    <w:rsid w:val="00FA77BB"/>
    <w:rsid w:val="00FA7822"/>
    <w:rsid w:val="00FA7DCE"/>
    <w:rsid w:val="00FA7E5C"/>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879"/>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0173538">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5696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2016-09-08T11:52:00Z</dcterms:created>
  <dcterms:modified xsi:type="dcterms:W3CDTF">2016-11-04T14:32:00Z</dcterms:modified>
</cp:coreProperties>
</file>